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5F6A" w:rsidRPr="00DD5F6A" w:rsidTr="00DD5F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D5F6A" w:rsidRPr="00DD5F6A" w:rsidTr="00DD5F6A">
              <w:trPr>
                <w:tblCellSpacing w:w="0" w:type="dxa"/>
              </w:trPr>
              <w:tc>
                <w:tcPr>
                  <w:tcW w:w="5000" w:type="pct"/>
                  <w:tcMar>
                    <w:top w:w="75" w:type="dxa"/>
                    <w:left w:w="0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DD5F6A" w:rsidRPr="00DD5F6A" w:rsidRDefault="00DD5F6A" w:rsidP="00DD5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65657"/>
                      <w:sz w:val="21"/>
                      <w:szCs w:val="21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b/>
                      <w:bCs/>
                      <w:color w:val="565657"/>
                      <w:sz w:val="21"/>
                      <w:szCs w:val="21"/>
                      <w:lang w:eastAsia="ru-RU"/>
                    </w:rPr>
                    <w:t>Потребителям</w:t>
                  </w:r>
                </w:p>
              </w:tc>
            </w:tr>
          </w:tbl>
          <w:p w:rsidR="00DD5F6A" w:rsidRPr="00DD5F6A" w:rsidRDefault="00DD5F6A" w:rsidP="00DD5F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D5F6A" w:rsidRPr="00DD5F6A" w:rsidTr="00DD5F6A">
        <w:trPr>
          <w:tblCellSpacing w:w="0" w:type="dxa"/>
        </w:trPr>
        <w:tc>
          <w:tcPr>
            <w:tcW w:w="2160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D5F6A" w:rsidRPr="00DD5F6A" w:rsidRDefault="00DD5F6A" w:rsidP="00DD5F6A">
            <w:pPr>
              <w:spacing w:before="100" w:beforeAutospacing="1" w:after="100" w:afterAutospacing="1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5488D5"/>
                <w:kern w:val="36"/>
                <w:sz w:val="21"/>
                <w:szCs w:val="21"/>
                <w:lang w:eastAsia="ru-RU"/>
              </w:rPr>
            </w:pPr>
            <w:r w:rsidRPr="00DD5F6A">
              <w:rPr>
                <w:rFonts w:ascii="Arial CYR" w:eastAsia="Times New Roman" w:hAnsi="Arial CYR" w:cs="Arial CYR"/>
                <w:b/>
                <w:bCs/>
                <w:color w:val="5488D5"/>
                <w:kern w:val="36"/>
                <w:sz w:val="21"/>
                <w:szCs w:val="21"/>
                <w:lang w:eastAsia="ru-RU"/>
              </w:rPr>
              <w:t>Существенные условия договора об осуществлении технологического присоединения</w:t>
            </w:r>
          </w:p>
          <w:tbl>
            <w:tblPr>
              <w:tblW w:w="21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D5F6A" w:rsidRPr="00DD5F6A" w:rsidTr="00DD5F6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п. 16 Правил ТП – Существенные условия договора об осуществлении технологического присоединения.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п.16 Правил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Правительства РФ от 27.12.2004 № 861 (опубликовано "Собрание законодательства РФ", 27.12.2004, № 52 (часть 2), ст. 5525; "Российская газета", № 7, 19.01.2005) с изменениями, внесенными в п. 16: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1.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ППРФ от 24.09.2010 № 759 (опубликовано "Собрание законодательства РФ", 04.10.2010, № 40, ст. 5086; "Российская Бизнес-газета", № 38, 12.10.2010)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2. ППРФ от 04.05.2012 № 442 (опубликовано "Собрание законодательства РФ", 04.06.2012, № 23, ст. 3008)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3. ППРФ от 26.08.2013 № 737 (опубликовано "Собрание законодательства РФ", 02.09.2013, № 35, ст. 4523)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Типовые формы документов: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Договор об осуществлении технологического присоединения к электрическим сетям (для физических лиц в целях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устройств) и которые используются для бытовых и иных нужд, не связанных с осуществлением предпринимательской деятельности) – в соответствии с Приложением № 1 к «Правилам технологического присоединения…», утвержденным Постановлением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Правительства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 xml:space="preserve">-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введен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ППРФ от 01.03.2011 № 129 (опубликовано "Собрание законодательства РФ", 07.03.2011, № 10, ст. 1406) с изменениями, внесенными ППРФ от 04.05.2012 № 442 (опубликовано "Собрание законодательства РФ", 04.06.2012, № 23, ст. 3008)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Договор об осуществлении технологического присоединения к электрическим сетям (для юридических лиц или индивидуальных предпринимателей в целях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устройств)) – в соответствии с Приложением № 2 к «Правилам технологического присоединения…», утвержденным Постановлением Правительства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- введен ППРФ от 01.03.2011 № 129 (опубликовано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"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Собрание законодательства РФ", 07.03.2011, № 10, ст. 1406) с изменениями, внесенными ППРФ от 04.05.2012 № 442 (опубликовано "Собрание законодательства РФ", 04.06.2012, № 23, ст. 3008)</w:t>
                  </w:r>
                  <w:proofErr w:type="gramEnd"/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Договор об осуществлении технологического присоединения к электрическим сетям (для юридических лиц или индивидуальных предпринимателей в целях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устройств, максимальная мощность которых составляет свыше 15 до 150 кВт включительно (с учетом ранее присоединенных в данной точке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устройств)) – в соответствии с Приложением № 3 к «Правилам технологического присоединения...», утвержденным Постановлением Правительства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- введен ППРФ от 01.03.2011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№ 129 (опубликовано "Собрание законодательства РФ", 07.03.2011, № 10, ст. 1406) с изменениями, внесенными: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1. ППРФ от 04.05.2012 № 442 (опубликовано "Собрание законодательства РФ", 04.06.2012, № 23, ст. 3008)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2. ППРФ от 05.10.2012 № 1015 (опубликовано "Собрание законодательства РФ", 08.10.2012, № 41, ст. 5636; "Российская газета", № 233, 10.10.2012)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3. ППРФ от 10.02.2014 № 95 (опубликовано "Собрание законодательства РФ", 17.02.2014, № 7, ст. 689)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4. ППРФ от 20.02.2014 № 130 (опубликовано "Собрание законодательства РФ", 03.03.2014, № 9, ст. 913)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Договор об осуществлении технологического присоединения к электрическим сетям (для юридических лиц или индивидуальных предпринимателей в целях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устройств, максимальная мощность которых свыше 150 кВт и менее 670 кВт (за исключением случаев, указанных в приложениях N 2 и 3, а также осуществления технологического присоединения по индивидуальному проекту)) – в  соответствии с Приложением № 4 к «Правилам технологического присоединения…», утвержденным Постановлением Правительства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 xml:space="preserve">-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введен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ППРФ от 01.03.2011 № 129 (опубликовано "Собрание законодательства РФ", 07.03.2011, № 10, ст. 1406) с изменениями, внесенными: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1. ППРФ от 04.05.2012 № 442 (опубликовано "Собрание законодательства РФ", 04.06.2012, № 23, ст. 3008)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2. ППРФ от 05.10.2012 № 1015 (опубликовано "Собрание законодательства РФ", 08.10.2012, № 41, ст. 5636; "Российская газета", № 233, 10.10.2012)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3. ППРФ от 20.12.2012 № 1354 (опубликовано "Собрание законодательства РФ", 24.12.2012, № 52, ст. 7525)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4. ППРФ от 12.10.2013 № 915 (опубликовано "Собрание законодательства РФ", 21.10.2013, № 42, ст. 5373)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5. ППРФ от 10.02.2014 № 95 (опубликовано "Собрание законодательства РФ", 17.02.2014, № 7, ст. 689)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6. ППРФ от 20.02.2014 № 130 (опубликовано "Собрание законодательства РФ", 03.03.2014, № 9, ст. 913)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Типовой договор об осуществлении технологического присоединения к электрическим сетям посредством перераспределения максимальной мощности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(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ля заявителей, заключивших соглашение о перераспределении максимальной мощности с владельцами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(за исключением лиц, указанных в пункте 12(1),13,14 Правил технологического присоединения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сетям, а также заявителей,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 которых присоединены к объектам электросетевого хозяйства, соответствующим критериям отнесения объектов к единой национальной (общероссийской) электрической сети, и заявителей, не внесших плату за технологическое присоединение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либо внесших такую плату не в полном объеме), имеющими на праве собственности или на ином законном основании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устройства, в отношении которых до 1 января 2009 г. в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установленном порядке было осуществлено фактическое технологическое присоединение к электрическим сетям) – в соответствии с Приложением № 5 к «Правилам технологического присоединения…», утвержденным Постановлением Правительства РФ от 27.12.2004 № 861</w:t>
                  </w: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- введен ППРФ от 22.11.2012 № 1209 (опубликовано "Собрание законодательства РФ", 03.12.2012, № 49, ст. 6858)</w:t>
                  </w:r>
                  <w:proofErr w:type="gramEnd"/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16. Договор должен содержать следующие существенные условия: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а) 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б) срок осуществления мероприятий по технологическому присоединению, который исчисляется со дня заключения договора и не может превышать: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 случаях осуществления технологического присоединения к электрическим сетям классом напряжения до 20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и (или) объектов электроэнергетики: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при временном технологическом присоединении;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4 месяца - для заявителей, максимальная мощность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которых составляет до 670 к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Вт вкл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ючительно;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 год - для заявителей, максимальная мощность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которых составляет свыше 670 кВт;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иных случаях: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15 рабочих дней (если в заявке не указан более продолжительный срок) - при временном технологическом присоединении заявителей,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 которых являются передвижными и имеют максимальную мощность до 150 к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Вт вкл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ючительно, если расстояние от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энергопринимающего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 заявителя до существующих электрических сетей необходимого класса напряжения составляет не более 300 метров;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6 месяцев - для заявителей, указанных в пунктах 12(1), 14 и 34 настоящих Правил, если технологическое присоединение осуществляется к электрическим сетям, уровень напряжения которых составляет до 20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энергопринимающие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устройства, составляет не более 300 метров в городах и поселках городского типа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 не более 500 метров в сельской местности;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 год - для заявителей, максимальная мощность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 года - для заявителей, максимальная мощность </w:t>
                  </w:r>
                  <w:proofErr w:type="spell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энергопринимающих</w:t>
                  </w:r>
                  <w:proofErr w:type="spell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в) положение об ответственности сторон за несоблюдение установленных договором и настоящими Правилами сроков исполнения своих обязательств, в том числе: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право заявителя в одностороннем порядке расторгнуть договор при нарушении сетевой организацией сроков технологического присоединения, указанных в договоре;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просрочки;</w:t>
                  </w:r>
                  <w:proofErr w:type="gramEnd"/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г) порядок разграничения балансовой принадлежности электрических сетей и эксплуатационной ответственности сторон;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д) размер платы за технологическое присоединение, определяемый в соответствии с законодательством Российской Федерации в сфере электроэнергетики (при осуществлении технологического присоединения по </w:t>
                  </w:r>
                  <w:proofErr w:type="gramStart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индивидуальному проекту</w:t>
                  </w:r>
                  <w:proofErr w:type="gramEnd"/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размер платы за технологическое присоединение определяется с учетом особенностей, установленных разделом III настоящих Правил);</w:t>
                  </w:r>
                </w:p>
                <w:p w:rsidR="00DD5F6A" w:rsidRPr="00DD5F6A" w:rsidRDefault="00DD5F6A" w:rsidP="00DD5F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D5F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е) порядок и сроки внесения заявителем платы за технологическое присоединение.</w:t>
                  </w:r>
                </w:p>
              </w:tc>
            </w:tr>
          </w:tbl>
          <w:p w:rsidR="00DD5F6A" w:rsidRPr="00DD5F6A" w:rsidRDefault="00DD5F6A" w:rsidP="00DD5F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D5F6A" w:rsidRPr="00DD5F6A" w:rsidTr="00DD5F6A">
        <w:trPr>
          <w:trHeight w:val="181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5F6A" w:rsidRPr="00DD5F6A" w:rsidRDefault="00DD5F6A" w:rsidP="00DD5F6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EE6BF8" w:rsidRDefault="00EE6BF8">
      <w:bookmarkStart w:id="0" w:name="_GoBack"/>
      <w:bookmarkEnd w:id="0"/>
    </w:p>
    <w:sectPr w:rsidR="00EE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45"/>
    <w:rsid w:val="00A3173A"/>
    <w:rsid w:val="00B90D45"/>
    <w:rsid w:val="00DD5F6A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523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04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248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8209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056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861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756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4738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209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8152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709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0226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9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2261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03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1373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925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963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49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115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4476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8585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56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821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495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4298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1266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1123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27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9720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cp:lastPrinted>2015-04-02T06:10:00Z</cp:lastPrinted>
  <dcterms:created xsi:type="dcterms:W3CDTF">2015-04-02T06:10:00Z</dcterms:created>
  <dcterms:modified xsi:type="dcterms:W3CDTF">2015-04-02T06:29:00Z</dcterms:modified>
</cp:coreProperties>
</file>